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F10" w:rsidRDefault="00B82F10" w:rsidP="00714FDF">
      <w:pPr>
        <w:widowControl/>
        <w:suppressAutoHyphens w:val="0"/>
        <w:autoSpaceDE w:val="0"/>
        <w:autoSpaceDN w:val="0"/>
        <w:adjustRightInd w:val="0"/>
        <w:jc w:val="both"/>
        <w:rPr>
          <w:rFonts w:eastAsia="Times New Roman" w:cs="Times New Roman"/>
          <w:b/>
          <w:bCs/>
          <w:kern w:val="0"/>
          <w:lang w:eastAsia="it-IT" w:bidi="ar-SA"/>
        </w:rPr>
      </w:pPr>
      <w:r>
        <w:rPr>
          <w:rFonts w:eastAsia="Times New Roman" w:cs="Times New Roman"/>
          <w:b/>
          <w:bCs/>
          <w:kern w:val="0"/>
          <w:lang w:eastAsia="it-IT" w:bidi="ar-SA"/>
        </w:rPr>
        <w:t>Allegato “A”</w:t>
      </w:r>
    </w:p>
    <w:p w:rsidR="00B82F10" w:rsidRDefault="00B82F10" w:rsidP="00714FDF">
      <w:pPr>
        <w:widowControl/>
        <w:suppressAutoHyphens w:val="0"/>
        <w:autoSpaceDE w:val="0"/>
        <w:autoSpaceDN w:val="0"/>
        <w:adjustRightInd w:val="0"/>
        <w:jc w:val="both"/>
        <w:rPr>
          <w:rFonts w:eastAsia="Times New Roman" w:cs="Times New Roman"/>
          <w:b/>
          <w:bCs/>
          <w:kern w:val="0"/>
          <w:lang w:eastAsia="it-IT" w:bidi="ar-SA"/>
        </w:rPr>
      </w:pPr>
      <w:r>
        <w:rPr>
          <w:rFonts w:eastAsia="Times New Roman" w:cs="Times New Roman"/>
          <w:b/>
          <w:bCs/>
          <w:kern w:val="0"/>
          <w:lang w:eastAsia="it-IT" w:bidi="ar-SA"/>
        </w:rPr>
        <w:t xml:space="preserve">MISURE ORGANIZZATIVE PER ASSICURARE </w:t>
      </w:r>
      <w:smartTag w:uri="urn:schemas-microsoft-com:office:smarttags" w:element="PersonName">
        <w:smartTagPr>
          <w:attr w:name="ProductID" w:val="LA TEMPESTIVITA"/>
        </w:smartTagPr>
        <w:r>
          <w:rPr>
            <w:rFonts w:eastAsia="Times New Roman" w:cs="Times New Roman"/>
            <w:b/>
            <w:bCs/>
            <w:kern w:val="0"/>
            <w:lang w:eastAsia="it-IT" w:bidi="ar-SA"/>
          </w:rPr>
          <w:t>LA TEMPESTIVITA</w:t>
        </w:r>
      </w:smartTag>
      <w:r>
        <w:rPr>
          <w:rFonts w:eastAsia="Times New Roman" w:cs="Times New Roman"/>
          <w:b/>
          <w:bCs/>
          <w:kern w:val="0"/>
          <w:lang w:eastAsia="it-IT" w:bidi="ar-SA"/>
        </w:rPr>
        <w:t>’ DEI PAGAMENTI AI SENSI DELL'ART. 9, COMMA 1, DEL D.L. N. 78/2009, CONVERTITO IN LEGGE N. 102/2009</w:t>
      </w:r>
      <w:r>
        <w:rPr>
          <w:rFonts w:eastAsia="Times New Roman" w:cs="Times New Roman"/>
          <w:b/>
          <w:bCs/>
          <w:color w:val="000000"/>
          <w:kern w:val="0"/>
          <w:lang w:eastAsia="it-IT" w:bidi="ar-SA"/>
        </w:rPr>
        <w:t>,  DEL D. LGS. N. 192/2012 E DELL’ARTICOLO 62 DEL DL 1/2012 CONVERTITO IN LEGGE N. 27/2012.</w:t>
      </w:r>
    </w:p>
    <w:p w:rsidR="00B82F10" w:rsidRDefault="00B82F10" w:rsidP="00714FDF">
      <w:pPr>
        <w:widowControl/>
        <w:suppressAutoHyphens w:val="0"/>
        <w:autoSpaceDE w:val="0"/>
        <w:autoSpaceDN w:val="0"/>
        <w:adjustRightInd w:val="0"/>
        <w:jc w:val="both"/>
        <w:rPr>
          <w:rFonts w:eastAsia="Times New Roman" w:cs="Times New Roman"/>
          <w:b/>
          <w:bCs/>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b/>
          <w:bCs/>
          <w:kern w:val="0"/>
          <w:lang w:eastAsia="it-IT" w:bidi="ar-SA"/>
        </w:rPr>
      </w:pPr>
      <w:r>
        <w:rPr>
          <w:rFonts w:eastAsia="Times New Roman" w:cs="Times New Roman"/>
          <w:b/>
          <w:bCs/>
          <w:kern w:val="0"/>
          <w:lang w:eastAsia="it-IT" w:bidi="ar-SA"/>
        </w:rPr>
        <w:t>Premessa</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kern w:val="0"/>
          <w:lang w:eastAsia="it-IT" w:bidi="ar-SA"/>
        </w:rPr>
        <w:t>Le seguenti misure, dirette ad assicurare, ai sensi delle disposizioni vigenti, la tempestività dei pagamenti dei debiti contratti dal Comune per forniture di beni e servizi e per opere pubbliche, tengono conto dei vincoli derivanti dalle norme sul Patto di Stabilità, che si ritengono comunque prioritari.</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b/>
          <w:bCs/>
          <w:kern w:val="0"/>
          <w:u w:val="single"/>
          <w:lang w:eastAsia="it-IT" w:bidi="ar-SA"/>
        </w:rPr>
      </w:pPr>
      <w:r>
        <w:rPr>
          <w:rFonts w:eastAsia="Times New Roman" w:cs="Times New Roman"/>
          <w:b/>
          <w:bCs/>
          <w:kern w:val="0"/>
          <w:u w:val="single"/>
          <w:lang w:eastAsia="it-IT" w:bidi="ar-SA"/>
        </w:rPr>
        <w:t>Procedura organizzativa per il pagamento dei fornitori a 30 giorni</w:t>
      </w:r>
    </w:p>
    <w:p w:rsidR="00B82F10" w:rsidRDefault="00B82F10" w:rsidP="00714FDF">
      <w:pPr>
        <w:widowControl/>
        <w:suppressAutoHyphens w:val="0"/>
        <w:autoSpaceDE w:val="0"/>
        <w:autoSpaceDN w:val="0"/>
        <w:adjustRightInd w:val="0"/>
        <w:jc w:val="both"/>
        <w:rPr>
          <w:rFonts w:eastAsia="Times New Roman" w:cs="Times New Roman"/>
          <w:bCs/>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bCs/>
          <w:kern w:val="0"/>
          <w:lang w:eastAsia="it-IT" w:bidi="ar-SA"/>
        </w:rPr>
      </w:pPr>
      <w:r>
        <w:rPr>
          <w:rFonts w:eastAsia="Times New Roman" w:cs="Times New Roman"/>
          <w:bCs/>
          <w:kern w:val="0"/>
          <w:lang w:eastAsia="it-IT" w:bidi="ar-SA"/>
        </w:rPr>
        <w:t>Al fine di assicurare la tempestività dei pagamenti, si dispongono le seguenti misure:</w:t>
      </w:r>
    </w:p>
    <w:p w:rsidR="00B82F10" w:rsidRDefault="00B82F10" w:rsidP="00714FDF">
      <w:pPr>
        <w:widowControl/>
        <w:suppressAutoHyphens w:val="0"/>
        <w:autoSpaceDE w:val="0"/>
        <w:autoSpaceDN w:val="0"/>
        <w:adjustRightInd w:val="0"/>
        <w:jc w:val="both"/>
        <w:rPr>
          <w:rFonts w:eastAsia="Times New Roman" w:cs="Times New Roman"/>
          <w:bCs/>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 xml:space="preserve">In primo luogo, per garantire il rispetto dei tempi di pagamento, si da indicazione agli uffici di contrattualizzare, ove possibile, il pagamento delle forniture a 60 gg. nei casi tassativamente consentiti dalla normativa vigente. </w:t>
      </w:r>
    </w:p>
    <w:p w:rsidR="00B82F10" w:rsidRDefault="00B82F10" w:rsidP="00714FDF">
      <w:pPr>
        <w:widowControl/>
        <w:suppressAutoHyphens w:val="0"/>
        <w:autoSpaceDE w:val="0"/>
        <w:autoSpaceDN w:val="0"/>
        <w:adjustRightInd w:val="0"/>
        <w:jc w:val="both"/>
        <w:rPr>
          <w:rFonts w:eastAsia="Times New Roman" w:cs="Times New Roman"/>
          <w:color w:val="FF0000"/>
          <w:kern w:val="0"/>
          <w:lang w:eastAsia="it-IT" w:bidi="ar-SA"/>
        </w:rPr>
      </w:pPr>
      <w:r>
        <w:rPr>
          <w:rFonts w:eastAsia="Times New Roman" w:cs="Times New Roman"/>
          <w:color w:val="000000"/>
          <w:kern w:val="0"/>
          <w:lang w:eastAsia="it-IT" w:bidi="ar-SA"/>
        </w:rPr>
        <w:t xml:space="preserve">Diversamente, </w:t>
      </w:r>
      <w:r>
        <w:rPr>
          <w:rFonts w:eastAsia="Times New Roman" w:cs="Times New Roman"/>
          <w:color w:val="000000"/>
          <w:kern w:val="0"/>
          <w:u w:val="single"/>
          <w:lang w:eastAsia="it-IT" w:bidi="ar-SA"/>
        </w:rPr>
        <w:t xml:space="preserve">le fatture dovranno essere liquidate e pagate entro i 30 gg dal ricevimento </w:t>
      </w:r>
      <w:r>
        <w:rPr>
          <w:rFonts w:eastAsia="Times New Roman" w:cs="Times New Roman"/>
          <w:color w:val="000000"/>
          <w:kern w:val="0"/>
          <w:lang w:eastAsia="it-IT" w:bidi="ar-SA"/>
        </w:rPr>
        <w:t>pena la maturazione automatica degli interessi passivi.</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kern w:val="0"/>
          <w:lang w:eastAsia="it-IT" w:bidi="ar-SA"/>
        </w:rPr>
        <w:t>Diverse decorrenze sono previste per i contratti agroalimentari, per i quali si rimanda alla normativa specifica.</w:t>
      </w: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I tempi potrebbero essere più lunghi nel caso in cui, per i pagamenti superiori a 10.000 Euro, il fornitore risultasse inadempiente al controllo Equitalia.</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Le fasi della procedura di pagamento necessari per conseguire il risultato di pagare in 30 giorni sono le seguenti:</w:t>
      </w: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p>
    <w:p w:rsidR="00B82F10" w:rsidRDefault="00B82F10" w:rsidP="00714FDF">
      <w:pPr>
        <w:widowControl/>
        <w:numPr>
          <w:ilvl w:val="0"/>
          <w:numId w:val="1"/>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ritiro giornaliero della posta pervenuta e giacente presso l’ufficio protocollo;</w:t>
      </w:r>
    </w:p>
    <w:p w:rsidR="00B82F10" w:rsidRDefault="00B82F10" w:rsidP="00714FDF">
      <w:pPr>
        <w:widowControl/>
        <w:numPr>
          <w:ilvl w:val="0"/>
          <w:numId w:val="1"/>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 xml:space="preserve">smistamento della posta da parte del responsabile di struttura che provvede ad accettarla (accerta che trattasi di fattura di competenza della sua struttura); </w:t>
      </w:r>
    </w:p>
    <w:p w:rsidR="00B82F10" w:rsidRDefault="00B82F10" w:rsidP="00714FDF">
      <w:pPr>
        <w:widowControl/>
        <w:numPr>
          <w:ilvl w:val="0"/>
          <w:numId w:val="1"/>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registrazione della fattura in arrivo con modalità che possa attestarne la data di ricevimento fino a querela di falso.</w:t>
      </w:r>
    </w:p>
    <w:p w:rsidR="00B82F10" w:rsidRDefault="00B82F10" w:rsidP="00714FDF">
      <w:pPr>
        <w:widowControl/>
        <w:suppressAutoHyphens w:val="0"/>
        <w:autoSpaceDE w:val="0"/>
        <w:autoSpaceDN w:val="0"/>
        <w:adjustRightInd w:val="0"/>
        <w:ind w:left="360"/>
        <w:jc w:val="both"/>
        <w:rPr>
          <w:rFonts w:eastAsia="Times New Roman" w:cs="Times New Roman"/>
          <w:color w:val="FF0000"/>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color w:val="000000"/>
          <w:kern w:val="0"/>
          <w:u w:val="single"/>
          <w:lang w:eastAsia="it-IT" w:bidi="ar-SA"/>
        </w:rPr>
      </w:pPr>
      <w:r>
        <w:rPr>
          <w:rFonts w:eastAsia="Times New Roman" w:cs="Times New Roman"/>
          <w:color w:val="000000"/>
          <w:kern w:val="0"/>
          <w:u w:val="single"/>
          <w:lang w:eastAsia="it-IT" w:bidi="ar-SA"/>
        </w:rPr>
        <w:t>Il tempo ritenuto congruo per l’effettuazione dei controlli e della liquidazione da parte degli Uffici, sarà al massimo di giorni 15.</w:t>
      </w: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E’ necessario:</w:t>
      </w:r>
    </w:p>
    <w:p w:rsidR="00B82F10" w:rsidRDefault="00B82F10" w:rsidP="00714FDF">
      <w:pPr>
        <w:widowControl/>
        <w:numPr>
          <w:ilvl w:val="0"/>
          <w:numId w:val="2"/>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verificare che la fattura sia di competenza del Comune di Parma e che l’importo sia dovuto;</w:t>
      </w:r>
    </w:p>
    <w:p w:rsidR="00B82F10" w:rsidRDefault="00B82F10" w:rsidP="00714FDF">
      <w:pPr>
        <w:widowControl/>
        <w:numPr>
          <w:ilvl w:val="0"/>
          <w:numId w:val="2"/>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in caso contrario occorre restituirla al fornitore per l’annullamento senza effettuare la registrazione;</w:t>
      </w:r>
    </w:p>
    <w:p w:rsidR="00B82F10" w:rsidRDefault="00B82F10" w:rsidP="00714FDF">
      <w:pPr>
        <w:widowControl/>
        <w:numPr>
          <w:ilvl w:val="0"/>
          <w:numId w:val="2"/>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verificare subito che la fattura sia di competenza dell’ufficio, altrimenti occorre trasmetterla tempestivamente all’ufficio competente;</w:t>
      </w:r>
    </w:p>
    <w:p w:rsidR="00B82F10" w:rsidRDefault="00B82F10" w:rsidP="00714FDF">
      <w:pPr>
        <w:widowControl/>
        <w:numPr>
          <w:ilvl w:val="0"/>
          <w:numId w:val="2"/>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se una fattura non è conforme a quanto concordato va subito contestata in forma scritta al fornitore in caso contrario il fornitore può chiedere gli interessi di ritardato pagamento;</w:t>
      </w:r>
    </w:p>
    <w:p w:rsidR="00B82F10" w:rsidRDefault="00B82F10" w:rsidP="00714FDF">
      <w:pPr>
        <w:widowControl/>
        <w:numPr>
          <w:ilvl w:val="0"/>
          <w:numId w:val="2"/>
        </w:numPr>
        <w:suppressAutoHyphens w:val="0"/>
        <w:autoSpaceDE w:val="0"/>
        <w:autoSpaceDN w:val="0"/>
        <w:adjustRightInd w:val="0"/>
        <w:jc w:val="both"/>
        <w:rPr>
          <w:rFonts w:eastAsia="Times New Roman" w:cs="Times New Roman"/>
          <w:color w:val="000000"/>
          <w:kern w:val="0"/>
          <w:u w:val="single"/>
          <w:lang w:eastAsia="it-IT" w:bidi="ar-SA"/>
        </w:rPr>
      </w:pPr>
      <w:r>
        <w:rPr>
          <w:rFonts w:eastAsia="Times New Roman" w:cs="Times New Roman"/>
          <w:color w:val="000000"/>
          <w:kern w:val="0"/>
          <w:lang w:eastAsia="it-IT" w:bidi="ar-SA"/>
        </w:rPr>
        <w:t xml:space="preserve">effettuare la liquidazione nei termini; nel caso i termini non possano essere rispettati, l’atto di liquidazione dovrà contenere esplicita motivazione. Nell’atto di liquidazione deve essere indicata la scadenza del pagamento, che è stato acquisito il DURC regolare e la relativa scadenza, nonché ogni altra verifica ed attestazione che le norme vigenti richiedano </w:t>
      </w:r>
      <w:r>
        <w:rPr>
          <w:rFonts w:eastAsia="Times New Roman" w:cs="Times New Roman"/>
          <w:color w:val="000000"/>
          <w:kern w:val="0"/>
          <w:u w:val="single"/>
          <w:lang w:eastAsia="it-IT" w:bidi="ar-SA"/>
        </w:rPr>
        <w:t>(utilizzare lo schema tipo di provvedimento di liquidazione);</w:t>
      </w:r>
    </w:p>
    <w:p w:rsidR="00B82F10" w:rsidRDefault="00B82F10" w:rsidP="00714FDF">
      <w:pPr>
        <w:widowControl/>
        <w:numPr>
          <w:ilvl w:val="0"/>
          <w:numId w:val="2"/>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i provvedimenti di liquidazione devono evidenziare la data di scadenza e devono essere trasmessi al Servizio Finanziario almeno 15 giorni prima della scadenza stessa.</w:t>
      </w: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I pagamenti saranno disposti dal Servizio Finanziario, di norma, secondo un ordine cronologico che tiene conto della scadenza di pagamento e della data di ricezione del provvedimento di liquidazione completo di tutti gli elementi necessari a consentire la regolare emissione del mandato.</w:t>
      </w: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Riassumendo, la tempistica risulta la seguente:</w:t>
      </w:r>
    </w:p>
    <w:p w:rsidR="00B82F10" w:rsidRDefault="00B82F10" w:rsidP="00714FDF">
      <w:pPr>
        <w:widowControl/>
        <w:numPr>
          <w:ilvl w:val="0"/>
          <w:numId w:val="3"/>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15 gg a disposizione degli uffici per la registrazione e la liquidazione;</w:t>
      </w:r>
    </w:p>
    <w:p w:rsidR="00B82F10" w:rsidRDefault="00B82F10" w:rsidP="00714FDF">
      <w:pPr>
        <w:widowControl/>
        <w:numPr>
          <w:ilvl w:val="0"/>
          <w:numId w:val="3"/>
        </w:numPr>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15 gg in capo al Servizio Finanziario per i controlli, la verifica contabile, l’emissione del mandato di pagamento e la trasmissione al tesoriere.</w:t>
      </w: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r>
        <w:rPr>
          <w:rFonts w:eastAsia="Times New Roman" w:cs="Times New Roman"/>
          <w:color w:val="000000"/>
          <w:kern w:val="0"/>
          <w:lang w:eastAsia="it-IT" w:bidi="ar-SA"/>
        </w:rPr>
        <w:t>Pertanto, se la liquidazione è corretta e tempestiva, ed il fornitore non risulta inadempiente al controllo di Equitalia, i tempi di pagamento possono essere rispettati.</w:t>
      </w:r>
    </w:p>
    <w:p w:rsidR="00B82F10" w:rsidRDefault="00B82F10" w:rsidP="00714FDF">
      <w:pPr>
        <w:widowControl/>
        <w:suppressAutoHyphens w:val="0"/>
        <w:autoSpaceDE w:val="0"/>
        <w:autoSpaceDN w:val="0"/>
        <w:adjustRightInd w:val="0"/>
        <w:jc w:val="both"/>
        <w:rPr>
          <w:rFonts w:eastAsia="Times New Roman" w:cs="Times New Roman"/>
          <w:color w:val="000000"/>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color w:val="000000"/>
          <w:kern w:val="0"/>
          <w:u w:val="single"/>
          <w:lang w:eastAsia="it-IT" w:bidi="ar-SA"/>
        </w:rPr>
      </w:pPr>
      <w:r>
        <w:rPr>
          <w:rFonts w:eastAsia="Times New Roman" w:cs="Times New Roman"/>
          <w:color w:val="000000"/>
          <w:kern w:val="0"/>
          <w:lang w:eastAsia="it-IT" w:bidi="ar-SA"/>
        </w:rPr>
        <w:t xml:space="preserve">Risulta necessario responsabilizzare le strutture sul </w:t>
      </w:r>
      <w:r>
        <w:rPr>
          <w:rFonts w:eastAsia="Times New Roman" w:cs="Times New Roman"/>
          <w:color w:val="000000"/>
          <w:kern w:val="0"/>
          <w:u w:val="single"/>
          <w:lang w:eastAsia="it-IT" w:bidi="ar-SA"/>
        </w:rPr>
        <w:t>rispetto dei tempi di pagamento, anche ai fini della valutazione della performance del personale per l’erogazione dei compensi incentivanti la produttività.</w:t>
      </w:r>
    </w:p>
    <w:p w:rsidR="00B82F10" w:rsidRDefault="00B82F10" w:rsidP="00714FDF">
      <w:pPr>
        <w:widowControl/>
        <w:suppressAutoHyphens w:val="0"/>
        <w:autoSpaceDE w:val="0"/>
        <w:autoSpaceDN w:val="0"/>
        <w:adjustRightInd w:val="0"/>
        <w:jc w:val="both"/>
        <w:rPr>
          <w:rFonts w:eastAsia="Times New Roman" w:cs="Times New Roman"/>
          <w:color w:val="000000"/>
          <w:kern w:val="0"/>
          <w:highlight w:val="yellow"/>
          <w:lang w:eastAsia="it-IT" w:bidi="ar-SA"/>
        </w:rPr>
      </w:pPr>
    </w:p>
    <w:p w:rsidR="00B82F10" w:rsidRDefault="00B82F10" w:rsidP="00714FDF">
      <w:pPr>
        <w:widowControl/>
        <w:suppressAutoHyphens w:val="0"/>
        <w:autoSpaceDE w:val="0"/>
        <w:autoSpaceDN w:val="0"/>
        <w:adjustRightInd w:val="0"/>
        <w:jc w:val="both"/>
        <w:rPr>
          <w:rFonts w:eastAsia="Times New Roman" w:cs="Times New Roman"/>
          <w:b/>
          <w:bCs/>
          <w:kern w:val="0"/>
          <w:u w:val="single"/>
          <w:lang w:eastAsia="it-IT" w:bidi="ar-SA"/>
        </w:rPr>
      </w:pPr>
    </w:p>
    <w:p w:rsidR="00B82F10" w:rsidRDefault="00B82F10" w:rsidP="00714FDF">
      <w:pPr>
        <w:widowControl/>
        <w:suppressAutoHyphens w:val="0"/>
        <w:autoSpaceDE w:val="0"/>
        <w:autoSpaceDN w:val="0"/>
        <w:adjustRightInd w:val="0"/>
        <w:ind w:firstLine="709"/>
        <w:jc w:val="both"/>
        <w:rPr>
          <w:rFonts w:eastAsia="Times New Roman" w:cs="Times New Roman"/>
          <w:b/>
          <w:bCs/>
          <w:kern w:val="0"/>
          <w:u w:val="single"/>
          <w:lang w:eastAsia="it-IT" w:bidi="ar-SA"/>
        </w:rPr>
      </w:pPr>
      <w:r>
        <w:rPr>
          <w:rFonts w:eastAsia="Times New Roman" w:cs="Times New Roman"/>
          <w:b/>
          <w:bCs/>
          <w:kern w:val="0"/>
          <w:u w:val="single"/>
          <w:lang w:eastAsia="it-IT" w:bidi="ar-SA"/>
        </w:rPr>
        <w:t>Spese correnti</w:t>
      </w:r>
    </w:p>
    <w:p w:rsidR="00B82F10" w:rsidRDefault="00B82F10" w:rsidP="00714FDF">
      <w:pPr>
        <w:widowControl/>
        <w:suppressAutoHyphens w:val="0"/>
        <w:autoSpaceDE w:val="0"/>
        <w:autoSpaceDN w:val="0"/>
        <w:adjustRightInd w:val="0"/>
        <w:jc w:val="both"/>
        <w:rPr>
          <w:rFonts w:eastAsia="Times New Roman" w:cs="Times New Roman"/>
          <w:bCs/>
          <w:kern w:val="0"/>
          <w:lang w:eastAsia="it-IT" w:bidi="ar-SA"/>
        </w:rPr>
      </w:pPr>
    </w:p>
    <w:p w:rsidR="00B82F10" w:rsidRDefault="00B82F10" w:rsidP="00714FDF">
      <w:pPr>
        <w:widowControl/>
        <w:suppressAutoHyphens w:val="0"/>
        <w:autoSpaceDE w:val="0"/>
        <w:autoSpaceDN w:val="0"/>
        <w:adjustRightInd w:val="0"/>
        <w:jc w:val="both"/>
        <w:rPr>
          <w:rFonts w:eastAsia="Times New Roman" w:cs="Times New Roman"/>
          <w:bCs/>
          <w:kern w:val="0"/>
          <w:lang w:eastAsia="it-IT" w:bidi="ar-SA"/>
        </w:rPr>
      </w:pPr>
      <w:r>
        <w:rPr>
          <w:rFonts w:eastAsia="Times New Roman" w:cs="Times New Roman"/>
          <w:bCs/>
          <w:kern w:val="0"/>
          <w:lang w:eastAsia="it-IT" w:bidi="ar-SA"/>
        </w:rPr>
        <w:t>Per i pagamenti relativi alle spese correnti non sussistono, attualmente, restrizioni derivanti dalle norme sul Patto di Stabilità; pertanto, è necessario applicare rigorosamente la procedura sopra illustrata e garantire il pagamento a 30 gg.</w:t>
      </w:r>
    </w:p>
    <w:p w:rsidR="00B82F10" w:rsidRDefault="00B82F10" w:rsidP="00714FDF">
      <w:pPr>
        <w:widowControl/>
        <w:suppressAutoHyphens w:val="0"/>
        <w:autoSpaceDE w:val="0"/>
        <w:autoSpaceDN w:val="0"/>
        <w:adjustRightInd w:val="0"/>
        <w:jc w:val="both"/>
        <w:rPr>
          <w:rFonts w:eastAsia="Times New Roman" w:cs="Times New Roman"/>
          <w:b/>
          <w:bCs/>
          <w:kern w:val="0"/>
          <w:u w:val="single"/>
          <w:lang w:eastAsia="it-IT" w:bidi="ar-SA"/>
        </w:rPr>
      </w:pPr>
    </w:p>
    <w:p w:rsidR="00B82F10" w:rsidRDefault="00B82F10" w:rsidP="00714FDF">
      <w:pPr>
        <w:widowControl/>
        <w:suppressAutoHyphens w:val="0"/>
        <w:autoSpaceDE w:val="0"/>
        <w:autoSpaceDN w:val="0"/>
        <w:adjustRightInd w:val="0"/>
        <w:ind w:firstLine="709"/>
        <w:jc w:val="both"/>
        <w:rPr>
          <w:rFonts w:eastAsia="Times New Roman" w:cs="Times New Roman"/>
          <w:b/>
          <w:bCs/>
          <w:kern w:val="0"/>
          <w:u w:val="single"/>
          <w:lang w:eastAsia="it-IT" w:bidi="ar-SA"/>
        </w:rPr>
      </w:pPr>
      <w:r>
        <w:rPr>
          <w:rFonts w:eastAsia="Times New Roman" w:cs="Times New Roman"/>
          <w:b/>
          <w:bCs/>
          <w:kern w:val="0"/>
          <w:u w:val="single"/>
          <w:lang w:eastAsia="it-IT" w:bidi="ar-SA"/>
        </w:rPr>
        <w:t>Spese in c/capitale</w:t>
      </w:r>
    </w:p>
    <w:p w:rsidR="00B82F10" w:rsidRDefault="00B82F10" w:rsidP="00714FDF">
      <w:pPr>
        <w:widowControl/>
        <w:suppressAutoHyphens w:val="0"/>
        <w:autoSpaceDE w:val="0"/>
        <w:autoSpaceDN w:val="0"/>
        <w:adjustRightInd w:val="0"/>
        <w:jc w:val="both"/>
        <w:rPr>
          <w:rFonts w:eastAsia="Times New Roman" w:cs="Times New Roman"/>
          <w:b/>
          <w:bCs/>
          <w:kern w:val="0"/>
          <w:u w:val="single"/>
          <w:lang w:eastAsia="it-IT" w:bidi="ar-SA"/>
        </w:rPr>
      </w:pP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kern w:val="0"/>
          <w:lang w:eastAsia="it-IT" w:bidi="ar-SA"/>
        </w:rPr>
        <w:t>I pagamenti relativi alle spese in c/capitale rilevano agli effetti del Patto di Stabilità, pertanto, la tempestività dei pagamenti deve essere coniugata con il rispetto degli obiettivi del Patto stesso, che si ritiene, comunque, prioritario in considerazione delle pesanti conseguenze derivanti dal mancato rispetto. In tale contesto di massima rigidità si dispongono le seguenti misure: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1. </w:t>
      </w:r>
      <w:r>
        <w:rPr>
          <w:rFonts w:eastAsia="Times New Roman" w:cs="Times New Roman"/>
          <w:kern w:val="0"/>
          <w:lang w:eastAsia="it-IT" w:bidi="ar-SA"/>
        </w:rPr>
        <w:t xml:space="preserve">Il Servizio Finanziario elabora e aggiorna costantemente </w:t>
      </w:r>
      <w:r>
        <w:rPr>
          <w:rFonts w:eastAsia="Times New Roman" w:cs="Times New Roman"/>
          <w:kern w:val="0"/>
          <w:u w:val="single"/>
          <w:lang w:eastAsia="it-IT" w:bidi="ar-SA"/>
        </w:rPr>
        <w:t>un report contenente le previsioni triennali relative ai vincoli derivanti dalle norme sul Patto di Stabilità</w:t>
      </w:r>
      <w:r>
        <w:rPr>
          <w:rFonts w:eastAsia="Times New Roman" w:cs="Times New Roman"/>
          <w:kern w:val="0"/>
          <w:lang w:eastAsia="it-IT" w:bidi="ar-SA"/>
        </w:rPr>
        <w:t>.</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2. </w:t>
      </w:r>
      <w:r>
        <w:rPr>
          <w:rFonts w:eastAsia="Times New Roman" w:cs="Times New Roman"/>
          <w:kern w:val="0"/>
          <w:lang w:eastAsia="it-IT" w:bidi="ar-SA"/>
        </w:rPr>
        <w:t xml:space="preserve">Il Servizio Finanziario, con il supporto dell’Area Sviluppo e controllo del territorio e del Settore Servizi al cittadino e, più in generale, dei Servizi che gestiscono entrate e interventi in c/capitale, elabora e aggiorna costantemente un </w:t>
      </w:r>
      <w:r>
        <w:rPr>
          <w:rFonts w:eastAsia="Times New Roman" w:cs="Times New Roman"/>
          <w:kern w:val="0"/>
          <w:u w:val="single"/>
          <w:lang w:eastAsia="it-IT" w:bidi="ar-SA"/>
        </w:rPr>
        <w:t>report contenente le previsioni triennali dei pagamenti e degli incassi relativi alla parte investimenti</w:t>
      </w:r>
      <w:r>
        <w:rPr>
          <w:rFonts w:eastAsia="Times New Roman" w:cs="Times New Roman"/>
          <w:kern w:val="0"/>
          <w:lang w:eastAsia="it-IT" w:bidi="ar-SA"/>
        </w:rPr>
        <w:t>.</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3. </w:t>
      </w:r>
      <w:r>
        <w:rPr>
          <w:rFonts w:eastAsia="Times New Roman" w:cs="Times New Roman"/>
          <w:kern w:val="0"/>
          <w:lang w:eastAsia="it-IT" w:bidi="ar-SA"/>
        </w:rPr>
        <w:t xml:space="preserve">Sulla base delle informazioni desumibili dai report di cui sopra, il Servizio Finanziario determina il </w:t>
      </w:r>
      <w:r>
        <w:rPr>
          <w:rFonts w:eastAsia="Times New Roman" w:cs="Times New Roman"/>
          <w:kern w:val="0"/>
          <w:u w:val="single"/>
          <w:lang w:eastAsia="it-IT" w:bidi="ar-SA"/>
        </w:rPr>
        <w:t>plafond annuo da destinarsi ai pagamenti in c/capitale</w:t>
      </w:r>
      <w:r>
        <w:rPr>
          <w:rFonts w:eastAsia="Times New Roman" w:cs="Times New Roman"/>
          <w:kern w:val="0"/>
          <w:lang w:eastAsia="it-IT" w:bidi="ar-SA"/>
        </w:rPr>
        <w:t>, compatibile con i vincoli derivanti dalle norme sul Patto di Stabilità. La misura del plafond può essere rideterminata, in corso d’anno, in ragione di modifiche normative o di scostamenti rispetto alle previsioni dei saldi di parte corrente o rispetto alle stime degli incassi in c/capitale ovvero degli spazi finanziari offerti dal cd “patto di stabilità nazionale o regionale”. Considerato inoltre che alcune voci di spesa corrente, se conservate fino alla fine dell’esercizio, agevolano i pagamenti di conto capitale (fondo riserva, fondo svalutazione crediti).</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kern w:val="0"/>
          <w:u w:val="single"/>
          <w:lang w:eastAsia="it-IT" w:bidi="ar-SA"/>
        </w:rPr>
        <w:t>Il plafond disponibile è destinato, prioritariamente, al pagamento di residui passivi</w:t>
      </w:r>
      <w:r>
        <w:rPr>
          <w:rFonts w:eastAsia="Times New Roman" w:cs="Times New Roman"/>
          <w:kern w:val="0"/>
          <w:lang w:eastAsia="it-IT" w:bidi="ar-SA"/>
        </w:rPr>
        <w:t xml:space="preserve"> </w:t>
      </w:r>
      <w:r>
        <w:rPr>
          <w:rFonts w:eastAsia="Times New Roman" w:cs="Times New Roman"/>
          <w:kern w:val="0"/>
          <w:u w:val="single"/>
          <w:lang w:eastAsia="it-IT" w:bidi="ar-SA"/>
        </w:rPr>
        <w:t>relativi ad interventi già appaltati ed in corso di esecuzione</w:t>
      </w:r>
      <w:r>
        <w:rPr>
          <w:rFonts w:eastAsia="Times New Roman" w:cs="Times New Roman"/>
          <w:kern w:val="0"/>
          <w:lang w:eastAsia="it-IT" w:bidi="ar-SA"/>
        </w:rPr>
        <w:t>. In prossimità del raggiungimento del plafond, il Servizio Finanziario dispone il blocco totale dei pagamenti in c/capitale e trasmette, al riguardo, immediata comunicazione alla Giunta, al Segretario Generale, al Responsabile della Programmazione delle Opere Pubbliche.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4. </w:t>
      </w:r>
      <w:r>
        <w:rPr>
          <w:rFonts w:eastAsia="Times New Roman" w:cs="Times New Roman"/>
          <w:kern w:val="0"/>
          <w:lang w:eastAsia="it-IT" w:bidi="ar-SA"/>
        </w:rPr>
        <w:t xml:space="preserve">Le esigenze di pagamento superiori al plafond previsto possono essere soddisfatte, su richiesta dei creditori, mediante </w:t>
      </w:r>
      <w:r>
        <w:rPr>
          <w:rFonts w:eastAsia="Times New Roman" w:cs="Times New Roman"/>
          <w:kern w:val="0"/>
          <w:u w:val="single"/>
          <w:lang w:eastAsia="it-IT" w:bidi="ar-SA"/>
        </w:rPr>
        <w:t>cessioni di credito pro soluto</w:t>
      </w:r>
      <w:r>
        <w:rPr>
          <w:rFonts w:eastAsia="Times New Roman" w:cs="Times New Roman"/>
          <w:kern w:val="0"/>
          <w:lang w:eastAsia="it-IT" w:bidi="ar-SA"/>
        </w:rPr>
        <w:t xml:space="preserve"> o altre forme di smobilizzo consentite dal sistema bancario, previa apposita certificazione rilasciata dal Servizio Finanziario a norma di legge. </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5. </w:t>
      </w:r>
      <w:r>
        <w:rPr>
          <w:rFonts w:eastAsia="Times New Roman" w:cs="Times New Roman"/>
          <w:kern w:val="0"/>
          <w:lang w:eastAsia="it-IT" w:bidi="ar-SA"/>
        </w:rPr>
        <w:t xml:space="preserve">Al fine di conseguire un allargamento nei margini offerti dai vincoli del Patto di Stabilità alla capacità di pagamento, i Servizi, su impulso e coordinamento del Servizio Finanziario, </w:t>
      </w:r>
      <w:r>
        <w:rPr>
          <w:rFonts w:eastAsia="Times New Roman" w:cs="Times New Roman"/>
          <w:kern w:val="0"/>
          <w:u w:val="single"/>
          <w:lang w:eastAsia="it-IT" w:bidi="ar-SA"/>
        </w:rPr>
        <w:t>devono agire in modo tempestivo ed efficace per il recupero dei crediti</w:t>
      </w:r>
      <w:r>
        <w:rPr>
          <w:rFonts w:eastAsia="Times New Roman" w:cs="Times New Roman"/>
          <w:kern w:val="0"/>
          <w:lang w:eastAsia="it-IT" w:bidi="ar-SA"/>
        </w:rPr>
        <w:t xml:space="preserve"> relativi ad interventi finanziati o cofinanziati da soggetti terzi.</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6. </w:t>
      </w:r>
      <w:r>
        <w:rPr>
          <w:rFonts w:eastAsia="Times New Roman" w:cs="Times New Roman"/>
          <w:kern w:val="0"/>
          <w:lang w:eastAsia="it-IT" w:bidi="ar-SA"/>
        </w:rPr>
        <w:t>Qualora i dati della gestione facciano intravvedere la possibilità di mancato raggiungimento degli obiettivi del Patto di Stabilità, il Servizio Finanziario trasmette immediata comunicazione alla Giunta e al Segretario Generale, al fine dell’adozione di strategie utili a scongiurare il rischio di “splafonamento” e delle conseguenti gravose sanzioni, nonché al Responsabile della Programmazione delle Opere Pubbliche, al fine della valutazione delle misure da adottare sulle procedure di appalto in corso.</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7. </w:t>
      </w:r>
      <w:r>
        <w:rPr>
          <w:rFonts w:eastAsia="Times New Roman" w:cs="Times New Roman"/>
          <w:kern w:val="0"/>
          <w:u w:val="single"/>
          <w:lang w:eastAsia="it-IT" w:bidi="ar-SA"/>
        </w:rPr>
        <w:t xml:space="preserve">Gli interventi previsti nel piano annuale potranno, </w:t>
      </w:r>
      <w:r>
        <w:rPr>
          <w:rFonts w:eastAsia="Times New Roman" w:cs="Times New Roman"/>
          <w:b/>
          <w:kern w:val="0"/>
          <w:u w:val="single"/>
          <w:lang w:eastAsia="it-IT" w:bidi="ar-SA"/>
        </w:rPr>
        <w:t>a concorrenza delle risorse disponibili</w:t>
      </w:r>
      <w:r>
        <w:rPr>
          <w:rFonts w:eastAsia="Times New Roman" w:cs="Times New Roman"/>
          <w:kern w:val="0"/>
          <w:u w:val="single"/>
          <w:lang w:eastAsia="it-IT" w:bidi="ar-SA"/>
        </w:rPr>
        <w:t>, essere ammessi a finanziamento in sede di approvazione dei relativi progetti e successivamente appaltati, solo se riconducibili alle seguenti tipologie: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a) </w:t>
      </w:r>
      <w:r>
        <w:rPr>
          <w:rFonts w:eastAsia="Times New Roman" w:cs="Times New Roman"/>
          <w:kern w:val="0"/>
          <w:lang w:eastAsia="it-IT" w:bidi="ar-SA"/>
        </w:rPr>
        <w:t>lavori pubblici di somma urgenza ai sensi dell’art. 191, comma 3, del D.Lgs. n. 267/2000;</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b) </w:t>
      </w:r>
      <w:r>
        <w:rPr>
          <w:rFonts w:eastAsia="Times New Roman" w:cs="Times New Roman"/>
          <w:kern w:val="0"/>
          <w:lang w:eastAsia="it-IT" w:bidi="ar-SA"/>
        </w:rPr>
        <w:t>opere o acquisti ritenuti indifferibili e urgenti per la salvaguardia della sicurezza e dell’incolumità pubblica, dalla cui mancata realizzazione possano derivare danni gravi alle persone, al patrimonio pubblico o all’ambiente;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c) </w:t>
      </w:r>
      <w:r>
        <w:rPr>
          <w:rFonts w:eastAsia="Times New Roman" w:cs="Times New Roman"/>
          <w:kern w:val="0"/>
          <w:lang w:eastAsia="it-IT" w:bidi="ar-SA"/>
        </w:rPr>
        <w:t>opere o acquisti ritenuti necessari per la sicurezza e la salute negli ambienti di lavoro o per assolvere a gravi problemi igienico-sanitari, ovvero ritenuti necessari per garantire l’erogabilità e/o la funzionalità dei servizi;</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d) </w:t>
      </w:r>
      <w:r>
        <w:rPr>
          <w:rFonts w:eastAsia="Times New Roman" w:cs="Times New Roman"/>
          <w:kern w:val="0"/>
          <w:lang w:eastAsia="it-IT" w:bidi="ar-SA"/>
        </w:rPr>
        <w:t>opere o acquisti finanziati interamente con contributi di terzi, sempreché la somma algebrica tra incassi e pagamenti prevista, in relazione alle opere stesse, nel triennio in corso al momento della proposta di spesa, fornisca, tendenzialmente, un saldo positivo o pari a 0;</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e) </w:t>
      </w:r>
      <w:r>
        <w:rPr>
          <w:rFonts w:eastAsia="Times New Roman" w:cs="Times New Roman"/>
          <w:kern w:val="0"/>
          <w:lang w:eastAsia="it-IT" w:bidi="ar-SA"/>
        </w:rPr>
        <w:t>opere o acquisti finanziati, anche parzialmente, con risorse a specifica destinazione già assegnate al momento della presente delibera (da valutare con riferimento all’importo del cofinanziamento);</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f) </w:t>
      </w:r>
      <w:r>
        <w:rPr>
          <w:rFonts w:eastAsia="Times New Roman" w:cs="Times New Roman"/>
          <w:kern w:val="0"/>
          <w:lang w:eastAsia="it-IT" w:bidi="ar-SA"/>
        </w:rPr>
        <w:t>opere o acquisti finanziati integralmente con risorse a specifica destinazione, anche se allocate tra le entrate correnti;</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g) </w:t>
      </w:r>
      <w:r>
        <w:rPr>
          <w:rFonts w:eastAsia="Times New Roman" w:cs="Times New Roman"/>
          <w:kern w:val="0"/>
          <w:lang w:eastAsia="it-IT" w:bidi="ar-SA"/>
        </w:rPr>
        <w:t>opere finanziate integralmente con le modalità di cui all’art. 53, comma 6, del D.Lgs. n. 163/2006 (Appalto con Permuta) e oneri collegati per le attività prodromiche, tecniche e per la messa in esercizio con lo stesso finanziamento;</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h) </w:t>
      </w:r>
      <w:r>
        <w:rPr>
          <w:rFonts w:eastAsia="Times New Roman" w:cs="Times New Roman"/>
          <w:kern w:val="0"/>
          <w:lang w:eastAsia="it-IT" w:bidi="ar-SA"/>
        </w:rPr>
        <w:t>opere finanziate integralmente mediante project financing o altre forme di partenariato pubblico – privato a condizione che comportino solo finanziamento di parte corrente;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i) </w:t>
      </w:r>
      <w:r>
        <w:rPr>
          <w:rFonts w:eastAsia="Times New Roman" w:cs="Times New Roman"/>
          <w:kern w:val="0"/>
          <w:lang w:eastAsia="it-IT" w:bidi="ar-SA"/>
        </w:rPr>
        <w:t>somme da restituire per oneri di urbanizzazione indebitamente versati, a seguito di errori di computo o di rinunce all’intervento edilizio autorizzato;</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j) </w:t>
      </w:r>
      <w:r>
        <w:rPr>
          <w:rFonts w:eastAsia="Times New Roman" w:cs="Times New Roman"/>
          <w:kern w:val="0"/>
          <w:lang w:eastAsia="it-IT" w:bidi="ar-SA"/>
        </w:rPr>
        <w:t>oneri derivanti da espropri, sentenze, transazioni, accordi bonari, conciliazioni, dalla cui mancata esecuzione possa derivare grave danno all’Ente;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k) </w:t>
      </w:r>
      <w:r>
        <w:rPr>
          <w:rFonts w:eastAsia="Times New Roman" w:cs="Times New Roman"/>
          <w:kern w:val="0"/>
          <w:lang w:eastAsia="it-IT" w:bidi="ar-SA"/>
        </w:rPr>
        <w:t>spese obbligatoriamente dovute per legge, regolamenti, ordinanze, prescrizioni di enti di controllo e per adeguamenti normativi dalla cui mancata esecuzione possa derivare grave danno all’Ente;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l) </w:t>
      </w:r>
      <w:r>
        <w:rPr>
          <w:rFonts w:eastAsia="Times New Roman" w:cs="Times New Roman"/>
          <w:kern w:val="0"/>
          <w:lang w:eastAsia="it-IT" w:bidi="ar-SA"/>
        </w:rPr>
        <w:t>spese derivanti da contratti, convenzioni, accordi o altri impegni già assunti o in corso di avanzata definizione all’atto della presente delibera dalla cui mancata esecuzione possa derivare danno grave all’ente;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m) </w:t>
      </w:r>
      <w:r>
        <w:rPr>
          <w:rFonts w:eastAsia="Times New Roman" w:cs="Times New Roman"/>
          <w:kern w:val="0"/>
          <w:lang w:eastAsia="it-IT" w:bidi="ar-SA"/>
        </w:rPr>
        <w:t>servizi tecnici e forniture collegati agli interventi citati;</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kern w:val="0"/>
          <w:lang w:eastAsia="it-IT" w:bidi="ar-SA"/>
        </w:rPr>
        <w:t>n)</w:t>
      </w:r>
      <w:r>
        <w:rPr>
          <w:rFonts w:eastAsia="Times New Roman" w:cs="Times New Roman"/>
          <w:kern w:val="0"/>
          <w:lang w:eastAsia="it-IT" w:bidi="ar-SA"/>
        </w:rPr>
        <w:t xml:space="preserve"> opere necessarie per completare interventi strategici finanziati integralmente con Fondi ex Metro.</w:t>
      </w:r>
    </w:p>
    <w:p w:rsidR="00B82F10" w:rsidRDefault="00B82F10" w:rsidP="00714FDF">
      <w:pPr>
        <w:widowControl/>
        <w:suppressAutoHyphens w:val="0"/>
        <w:autoSpaceDE w:val="0"/>
        <w:autoSpaceDN w:val="0"/>
        <w:adjustRightInd w:val="0"/>
        <w:jc w:val="both"/>
        <w:rPr>
          <w:rFonts w:eastAsia="Times New Roman" w:cs="Times New Roman"/>
          <w:kern w:val="0"/>
          <w:u w:val="single"/>
          <w:lang w:eastAsia="it-IT" w:bidi="ar-SA"/>
        </w:rPr>
      </w:pPr>
      <w:r>
        <w:rPr>
          <w:rFonts w:eastAsia="Times New Roman" w:cs="Times New Roman"/>
          <w:kern w:val="0"/>
          <w:u w:val="single"/>
          <w:lang w:eastAsia="it-IT" w:bidi="ar-SA"/>
        </w:rPr>
        <w:t>I suddetti interventi non dovranno, di norma, contemplare pagamenti nell’anno di competenza, fatta salva la necessità di pagamenti urgenti, da esprimersi nell’atto deliberativo.</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kern w:val="0"/>
          <w:u w:val="single"/>
          <w:lang w:eastAsia="it-IT" w:bidi="ar-SA"/>
        </w:rPr>
        <w:t>L’appartenenza alle suddette tipologie dovrà essere obbligatoriamente attestata</w:t>
      </w:r>
      <w:r>
        <w:rPr>
          <w:rFonts w:eastAsia="Times New Roman" w:cs="Times New Roman"/>
          <w:kern w:val="0"/>
          <w:u w:val="single"/>
          <w:lang w:eastAsia="it-IT" w:bidi="ar-SA"/>
        </w:rPr>
        <w:t xml:space="preserve"> </w:t>
      </w:r>
      <w:r>
        <w:rPr>
          <w:rFonts w:eastAsia="Times New Roman" w:cs="Times New Roman"/>
          <w:kern w:val="0"/>
          <w:lang w:eastAsia="it-IT" w:bidi="ar-SA"/>
        </w:rPr>
        <w:t>nelle delibere inerenti all’approvazione dei progetti e nelle determinazioni dirigenziali di impegno di spesa.</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kern w:val="0"/>
          <w:lang w:eastAsia="it-IT" w:bidi="ar-SA"/>
        </w:rPr>
        <w:t>Relativamente ai suddetti atti, il parere di regolarità contabile rilasciato dal Servizio Finanziario riguarderà anche l’accertamento della sussistenza di tale attestazione.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8. </w:t>
      </w:r>
      <w:r>
        <w:rPr>
          <w:rFonts w:eastAsia="Times New Roman" w:cs="Times New Roman"/>
          <w:kern w:val="0"/>
          <w:lang w:eastAsia="it-IT" w:bidi="ar-SA"/>
        </w:rPr>
        <w:t xml:space="preserve">Per gli interventi </w:t>
      </w:r>
      <w:r>
        <w:rPr>
          <w:rFonts w:eastAsia="Times New Roman" w:cs="Times New Roman"/>
          <w:kern w:val="0"/>
          <w:u w:val="single"/>
          <w:lang w:eastAsia="it-IT" w:bidi="ar-SA"/>
        </w:rPr>
        <w:t>già impegnati alla data della presente delibera, ma non ancora appaltati</w:t>
      </w:r>
      <w:r>
        <w:rPr>
          <w:rFonts w:eastAsia="Times New Roman" w:cs="Times New Roman"/>
          <w:kern w:val="0"/>
          <w:lang w:eastAsia="it-IT" w:bidi="ar-SA"/>
        </w:rPr>
        <w:t>, potranno essere avviate le procedure di gara solo se trattasi di</w:t>
      </w:r>
      <w:r>
        <w:rPr>
          <w:rFonts w:eastAsia="Times New Roman" w:cs="Times New Roman"/>
          <w:b/>
          <w:bCs/>
          <w:kern w:val="0"/>
          <w:lang w:eastAsia="it-IT" w:bidi="ar-SA"/>
        </w:rPr>
        <w:t xml:space="preserve"> </w:t>
      </w:r>
      <w:r>
        <w:rPr>
          <w:rFonts w:eastAsia="Times New Roman" w:cs="Times New Roman"/>
          <w:kern w:val="0"/>
          <w:lang w:eastAsia="it-IT" w:bidi="ar-SA"/>
        </w:rPr>
        <w:t>spese rientranti nelle tipologie di cui al precedente punto 7;</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kern w:val="0"/>
          <w:lang w:eastAsia="it-IT" w:bidi="ar-SA"/>
        </w:rPr>
        <w:t>La sussistenza delle suddette condizioni dovrà essere obbligatoriamente attestata nelle delibere e/o determine relative al finanziamento e/o appalto degli interventi in questione. Relativamente ai suddetti atti, il parere di regolarità contabile rilasciato dal Servizio Finanziario riguarderà anche l’accertamento della sussistenza di tale attestazione.</w:t>
      </w:r>
    </w:p>
    <w:p w:rsidR="00B82F10" w:rsidRDefault="00B82F10" w:rsidP="00714FDF">
      <w:pPr>
        <w:widowControl/>
        <w:suppressAutoHyphens w:val="0"/>
        <w:autoSpaceDE w:val="0"/>
        <w:autoSpaceDN w:val="0"/>
        <w:adjustRightInd w:val="0"/>
        <w:jc w:val="both"/>
        <w:rPr>
          <w:rFonts w:eastAsia="Times New Roman" w:cs="Times New Roman"/>
          <w:kern w:val="0"/>
          <w:lang w:eastAsia="it-IT" w:bidi="ar-SA"/>
        </w:rPr>
      </w:pPr>
      <w:r>
        <w:rPr>
          <w:rFonts w:eastAsia="Times New Roman" w:cs="Times New Roman"/>
          <w:b/>
          <w:bCs/>
          <w:kern w:val="0"/>
          <w:lang w:eastAsia="it-IT" w:bidi="ar-SA"/>
        </w:rPr>
        <w:t xml:space="preserve">9. </w:t>
      </w:r>
      <w:r>
        <w:rPr>
          <w:rFonts w:eastAsia="Times New Roman" w:cs="Times New Roman"/>
          <w:kern w:val="0"/>
          <w:lang w:eastAsia="it-IT" w:bidi="ar-SA"/>
        </w:rPr>
        <w:t xml:space="preserve">Con riferimento agli interventi di cui ai precedenti punti 7 e 8, </w:t>
      </w:r>
      <w:r>
        <w:rPr>
          <w:rFonts w:eastAsia="Times New Roman" w:cs="Times New Roman"/>
          <w:kern w:val="0"/>
          <w:u w:val="single"/>
          <w:lang w:eastAsia="it-IT" w:bidi="ar-SA"/>
        </w:rPr>
        <w:t>il Dirigente del Servizio competente per materia, al momento della stipula del relativo contratto</w:t>
      </w:r>
      <w:r>
        <w:rPr>
          <w:rFonts w:eastAsia="Times New Roman" w:cs="Times New Roman"/>
          <w:kern w:val="0"/>
          <w:lang w:eastAsia="it-IT" w:bidi="ar-SA"/>
        </w:rPr>
        <w:t xml:space="preserve"> oppure – in caso di consegna dei lavori in via d’urgenza, al momento della consegna dei lavori stessi </w:t>
      </w:r>
      <w:r>
        <w:rPr>
          <w:rFonts w:eastAsia="Times New Roman" w:cs="Times New Roman"/>
          <w:b/>
          <w:kern w:val="0"/>
          <w:lang w:eastAsia="it-IT" w:bidi="ar-SA"/>
        </w:rPr>
        <w:t xml:space="preserve">– </w:t>
      </w:r>
      <w:r>
        <w:rPr>
          <w:rFonts w:eastAsia="Times New Roman" w:cs="Times New Roman"/>
          <w:b/>
          <w:kern w:val="0"/>
          <w:u w:val="single"/>
          <w:lang w:eastAsia="it-IT" w:bidi="ar-SA"/>
        </w:rPr>
        <w:t>è tenuto ad inviare al Servizio Finanziario un prospetto contenente la previsione della cadenza temporale dei flussi di pagamento in uscita e degli eventuali flussi di entrata dalle fonti che finanziano l’intervento</w:t>
      </w:r>
      <w:r>
        <w:rPr>
          <w:rFonts w:eastAsia="Times New Roman" w:cs="Times New Roman"/>
          <w:kern w:val="0"/>
          <w:lang w:eastAsia="it-IT" w:bidi="ar-SA"/>
        </w:rPr>
        <w:t xml:space="preserve"> (ad es. tempistica aggiornata delle erogazioni previste dei contributi di terzi), ai fini del costante aggiornamento del quadro previsionale di cui al precedente punto 2.</w:t>
      </w:r>
    </w:p>
    <w:p w:rsidR="00B82F10" w:rsidRDefault="00B82F10" w:rsidP="00714FDF">
      <w:pPr>
        <w:widowControl/>
        <w:suppressAutoHyphens w:val="0"/>
        <w:autoSpaceDE w:val="0"/>
        <w:autoSpaceDN w:val="0"/>
        <w:adjustRightInd w:val="0"/>
        <w:jc w:val="both"/>
        <w:rPr>
          <w:rFonts w:cs="Times New Roman"/>
        </w:rPr>
      </w:pPr>
    </w:p>
    <w:p w:rsidR="00B82F10" w:rsidRDefault="00B82F10"/>
    <w:sectPr w:rsidR="00B82F10" w:rsidSect="00794B30">
      <w:pgSz w:w="11906" w:h="16838" w:code="9"/>
      <w:pgMar w:top="1134" w:right="1134" w:bottom="1701" w:left="1134" w:header="284" w:footer="1474" w:gutter="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ËÎÌå"/>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11A32"/>
    <w:multiLevelType w:val="hybridMultilevel"/>
    <w:tmpl w:val="2D4874DA"/>
    <w:lvl w:ilvl="0" w:tplc="04100017">
      <w:start w:val="1"/>
      <w:numFmt w:val="lowerLetter"/>
      <w:lvlText w:val="%1)"/>
      <w:lvlJc w:val="left"/>
      <w:pPr>
        <w:ind w:left="720" w:hanging="360"/>
      </w:pPr>
      <w:rPr>
        <w:rFonts w:cs="Times New Roman"/>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1">
    <w:nsid w:val="49B73B4F"/>
    <w:multiLevelType w:val="hybridMultilevel"/>
    <w:tmpl w:val="09D8E842"/>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
    <w:nsid w:val="4E4F7A3D"/>
    <w:multiLevelType w:val="multilevel"/>
    <w:tmpl w:val="0410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hyphenationZone w:val="283"/>
  <w:drawingGridHorizontalSpacing w:val="120"/>
  <w:drawingGridVerticalSpacing w:val="163"/>
  <w:displayHorizontalDrawingGridEvery w:val="0"/>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4FDF"/>
    <w:rsid w:val="001048FE"/>
    <w:rsid w:val="002733B8"/>
    <w:rsid w:val="006B0422"/>
    <w:rsid w:val="006B53E6"/>
    <w:rsid w:val="00714FDF"/>
    <w:rsid w:val="00794B30"/>
    <w:rsid w:val="008D10DA"/>
    <w:rsid w:val="00981656"/>
    <w:rsid w:val="00B82F10"/>
    <w:rsid w:val="00EC709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4FDF"/>
    <w:pPr>
      <w:widowControl w:val="0"/>
      <w:suppressAutoHyphens/>
    </w:pPr>
    <w:rPr>
      <w:rFonts w:eastAsia="SimSun" w:cs="Mangal"/>
      <w:kern w:val="2"/>
      <w:sz w:val="24"/>
      <w:szCs w:val="24"/>
      <w:lang w:eastAsia="hi-IN" w:bidi="hi-IN"/>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961719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1795</Words>
  <Characters>10234</Characters>
  <Application>Microsoft Office Outlook</Application>
  <DocSecurity>0</DocSecurity>
  <Lines>0</Lines>
  <Paragraphs>0</Paragraphs>
  <ScaleCrop>false</ScaleCrop>
  <Company>CdP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M.G.Ghirardi</dc:creator>
  <cp:keywords/>
  <dc:description/>
  <cp:lastModifiedBy>M.G.Ghirardi</cp:lastModifiedBy>
  <cp:revision>2</cp:revision>
  <dcterms:created xsi:type="dcterms:W3CDTF">2013-03-26T12:49:00Z</dcterms:created>
  <dcterms:modified xsi:type="dcterms:W3CDTF">2013-03-26T12:49:00Z</dcterms:modified>
</cp:coreProperties>
</file>